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JESUS CHANGES WATER TO WINE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John 2:1–12</w:t>
      </w:r>
    </w:p>
    <w:p w:rsidR="00000000" w:rsidDel="00000000" w:rsidP="00000000" w:rsidRDefault="00000000" w:rsidRPr="00000000" w14:paraId="00000006">
      <w:pPr>
        <w:rPr/>
      </w:pPr>
      <w:r w:rsidDel="00000000" w:rsidR="00000000" w:rsidRPr="00000000">
        <w:rPr>
          <w:rtl w:val="0"/>
        </w:rPr>
        <w:t xml:space="preserve">Key Verse: 2:11</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What is the setting (1–2)? What happened (3), and what did this mean in their culture?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How did Jesus respond (4), and what did he mean by “my hour” (see 7:4–6)? What did his mother do anyway (5), and what can we learn from her at this event?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What details are given, and what was their purpose (6)? What did Jesus tell the servants, and why would this be hard (7a)? What does their response show about them (7b)? What else did Jesus tell them, and what can we learn from them (8)?</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What did the master of the feast do and say, and what does this tell us (9–10)?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How did this sign manifest Jesus’ glory (11), and what does this mean to us (see 2Co5:17)? How did his disciples respond, and what can we learn here?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